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77E" w:rsidRPr="00A1577E" w:rsidRDefault="00A1577E" w:rsidP="00A1577E">
      <w:pPr>
        <w:spacing w:after="0" w:line="340" w:lineRule="exact"/>
        <w:jc w:val="center"/>
        <w:rPr>
          <w:rFonts w:ascii="Times New Roman" w:eastAsia="Times New Roman" w:hAnsi="Times New Roman" w:cs="Times New Roman"/>
          <w:b/>
          <w:sz w:val="28"/>
          <w:szCs w:val="28"/>
        </w:rPr>
      </w:pPr>
      <w:r w:rsidRPr="00A1577E">
        <w:rPr>
          <w:rFonts w:ascii="Times New Roman" w:eastAsia="Times New Roman" w:hAnsi="Times New Roman" w:cs="Times New Roman"/>
          <w:b/>
          <w:sz w:val="28"/>
          <w:szCs w:val="28"/>
        </w:rPr>
        <w:t>Phụ lục</w:t>
      </w:r>
    </w:p>
    <w:p w:rsidR="00A1577E" w:rsidRPr="00A1577E" w:rsidRDefault="00A1577E" w:rsidP="00A1577E">
      <w:pPr>
        <w:spacing w:after="0" w:line="340" w:lineRule="exact"/>
        <w:jc w:val="center"/>
        <w:rPr>
          <w:rFonts w:ascii="Times New Roman Bold" w:eastAsia="Times New Roman" w:hAnsi="Times New Roman Bold" w:cs="Times New Roman"/>
          <w:b/>
          <w:spacing w:val="-6"/>
          <w:sz w:val="28"/>
          <w:szCs w:val="28"/>
        </w:rPr>
      </w:pPr>
      <w:r w:rsidRPr="00A1577E">
        <w:rPr>
          <w:rFonts w:ascii="Times New Roman Bold" w:eastAsia="Times New Roman" w:hAnsi="Times New Roman Bold" w:cs="Times New Roman"/>
          <w:b/>
          <w:spacing w:val="-6"/>
          <w:sz w:val="28"/>
          <w:szCs w:val="28"/>
        </w:rPr>
        <w:t>NỘI DUNG TRUYỀN THÔNG DỰ THẢO QUYẾT ĐỊNH CỦA UBND TỈNH</w:t>
      </w:r>
    </w:p>
    <w:p w:rsidR="00A1577E" w:rsidRPr="00A1577E" w:rsidRDefault="00A1577E" w:rsidP="00A1577E">
      <w:pPr>
        <w:spacing w:after="0" w:line="340" w:lineRule="exact"/>
        <w:jc w:val="center"/>
        <w:rPr>
          <w:rFonts w:ascii="Times New Roman Bold" w:eastAsia="Times New Roman" w:hAnsi="Times New Roman Bold" w:cs="Times New Roman"/>
          <w:b/>
          <w:spacing w:val="-6"/>
          <w:sz w:val="28"/>
          <w:szCs w:val="28"/>
        </w:rPr>
      </w:pPr>
      <w:r w:rsidRPr="00A1577E">
        <w:rPr>
          <w:rFonts w:ascii="Times New Roman Bold" w:eastAsia="Times New Roman" w:hAnsi="Times New Roman Bold" w:cs="Times New Roman"/>
          <w:b/>
          <w:spacing w:val="-6"/>
          <w:sz w:val="28"/>
          <w:szCs w:val="28"/>
        </w:rPr>
        <w:t xml:space="preserve">BAN HÀNH QUY CHẾ QUẢN LÝ HOẠT ĐỘNG QUẢNG CÁO </w:t>
      </w:r>
    </w:p>
    <w:p w:rsidR="00A1577E" w:rsidRPr="00A1577E" w:rsidRDefault="00A1577E" w:rsidP="00A1577E">
      <w:pPr>
        <w:spacing w:after="0" w:line="340" w:lineRule="exact"/>
        <w:jc w:val="center"/>
        <w:rPr>
          <w:rFonts w:ascii="Times New Roman Bold" w:eastAsia="Times New Roman" w:hAnsi="Times New Roman Bold" w:cs="Times New Roman"/>
          <w:b/>
          <w:spacing w:val="-6"/>
          <w:sz w:val="28"/>
          <w:szCs w:val="28"/>
        </w:rPr>
      </w:pPr>
      <w:r w:rsidRPr="00A1577E">
        <w:rPr>
          <w:rFonts w:ascii="Times New Roman Bold" w:eastAsia="Times New Roman" w:hAnsi="Times New Roman Bold" w:cs="Times New Roman"/>
          <w:b/>
          <w:spacing w:val="-6"/>
          <w:sz w:val="28"/>
          <w:szCs w:val="28"/>
        </w:rPr>
        <w:t>NGOÀI TRỜI TRÊN ĐỊA BÀN TỈNH KHÁNH HÒA</w:t>
      </w:r>
    </w:p>
    <w:p w:rsidR="00A1577E" w:rsidRPr="00A1577E" w:rsidRDefault="00A1577E" w:rsidP="00A1577E">
      <w:pPr>
        <w:spacing w:after="0" w:line="340" w:lineRule="exact"/>
        <w:jc w:val="center"/>
        <w:rPr>
          <w:rFonts w:ascii="Times New Roman" w:eastAsia="Times New Roman" w:hAnsi="Times New Roman" w:cs="Times New Roman"/>
          <w:i/>
          <w:sz w:val="28"/>
          <w:szCs w:val="28"/>
        </w:rPr>
      </w:pPr>
      <w:r w:rsidRPr="00A1577E">
        <w:rPr>
          <w:rFonts w:ascii="Times New Roman" w:eastAsia="Times New Roman" w:hAnsi="Times New Roman" w:cs="Times New Roman"/>
          <w:i/>
          <w:sz w:val="28"/>
          <w:szCs w:val="28"/>
        </w:rPr>
        <w:t xml:space="preserve">(Kèm theo Thông báo số           /TB-SVHTTDL ngày       /10/2026 </w:t>
      </w:r>
    </w:p>
    <w:p w:rsidR="00A1577E" w:rsidRPr="00A1577E" w:rsidRDefault="00A1577E" w:rsidP="00A1577E">
      <w:pPr>
        <w:spacing w:after="0" w:line="340" w:lineRule="exact"/>
        <w:jc w:val="center"/>
        <w:rPr>
          <w:rFonts w:ascii="Times New Roman" w:eastAsia="Times New Roman" w:hAnsi="Times New Roman" w:cs="Times New Roman"/>
          <w:i/>
          <w:sz w:val="28"/>
          <w:szCs w:val="28"/>
        </w:rPr>
      </w:pPr>
      <w:r w:rsidRPr="00A1577E">
        <w:rPr>
          <w:rFonts w:ascii="Times New Roman" w:eastAsia="Times New Roman" w:hAnsi="Times New Roman" w:cs="Times New Roman"/>
          <w:i/>
          <w:sz w:val="28"/>
          <w:szCs w:val="28"/>
        </w:rPr>
        <w:t>của Sở Văn hóa, Thể thao và Du lịch)</w:t>
      </w:r>
    </w:p>
    <w:p w:rsidR="00A1577E" w:rsidRPr="00A1577E" w:rsidRDefault="00A1577E" w:rsidP="00A1577E">
      <w:pPr>
        <w:spacing w:before="120" w:after="120" w:line="240" w:lineRule="auto"/>
        <w:ind w:firstLine="720"/>
        <w:jc w:val="both"/>
        <w:rPr>
          <w:rFonts w:ascii="Times New Roman" w:eastAsia="Times New Roman" w:hAnsi="Times New Roman" w:cs="Times New Roman"/>
          <w:b/>
          <w:bCs/>
          <w:sz w:val="28"/>
          <w:szCs w:val="28"/>
          <w:lang w:val="en-US"/>
        </w:rPr>
      </w:pPr>
    </w:p>
    <w:p w:rsidR="00A1577E" w:rsidRPr="00A1577E" w:rsidRDefault="00A1577E" w:rsidP="00A1577E">
      <w:pPr>
        <w:spacing w:before="120" w:after="120" w:line="240" w:lineRule="auto"/>
        <w:ind w:firstLine="720"/>
        <w:jc w:val="both"/>
        <w:rPr>
          <w:rFonts w:ascii="Times New Roman" w:eastAsia="Times New Roman" w:hAnsi="Times New Roman" w:cs="Times New Roman"/>
          <w:b/>
          <w:bCs/>
          <w:sz w:val="28"/>
          <w:szCs w:val="28"/>
          <w:lang w:eastAsia="en-GB"/>
        </w:rPr>
      </w:pPr>
      <w:r w:rsidRPr="00A1577E">
        <w:rPr>
          <w:rFonts w:ascii="Times New Roman" w:eastAsia="Times New Roman" w:hAnsi="Times New Roman" w:cs="Times New Roman"/>
          <w:b/>
          <w:bCs/>
          <w:sz w:val="28"/>
          <w:szCs w:val="28"/>
          <w:lang w:val="en-US"/>
        </w:rPr>
        <w:t>I. SỰ CẦN THIẾT BAN HÀNH QUYẾT ĐỊNH</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b/>
          <w:bCs/>
          <w:sz w:val="28"/>
          <w:szCs w:val="28"/>
          <w:lang w:val="en-US"/>
        </w:rPr>
        <w:t>1. Cơ sở pháp lý</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Căn cứ đồng bộ các văn bản luật có liên quan: Luật Tổ chức chính quyền địa phương số 72/2025/QH15; Luật Quảng cáo số 16/2012/QH13 (được sửa đổi, bổ sung bởi Luật số 75/2025/QH15); Luật Đường bộ số 35/2024/QH15; Luật Trật tự, an toàn giao thông đường bộ số 36/2024/QH15; Luật Xây dựng số 135/2025/QH15; Luật Đất đai số 31/2024/QH15; Luật Quy hoạch số 112/2025/QH15.</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Căn cứ các văn bản chuyên ngành: Thông tư số 12/2026/TT-BVHTTDL ngày 22/5/2026 của Bộ Văn hóa, Thể thao và Du lịch quy định chi tiết thi hành một số điều của Luật Quảng cáo; Thông tư số 04/2018/TT-BXD ngày 20/5/2018 của Bộ Xây dựng ban hành Quy chuẩn kỹ thuật quốc gia về xây dựng và lắp đặt phương tiện quảng cáo ngoài trời; Thông tư số 06/2021/TT-BXD ngày 30/6/2021 của Bộ Xây dựng quy định về phân cấp công trình xây dựng và hướng dẫn áp dụng trong quản lý hoạt động đầu tư xây dựng (được sửa đổi, bổ sung bởi Thông tư số 02/2025/TT-BXD ngày 31/3/2025 của Bộ Xây dựng); Thông tư số 06/2022/TT-BXD ngày 30/11/2022 của Bộ Xây dựng ban hành Quy chuẩn kỹ thuật quốc gia về An toàn cháy cho nhà và công trình (được sửa đổi, bổ sung bởi Thông tư số 09/2023/TT-BXD ngày 16/10/2023 của Bộ Xây dựng).</w:t>
      </w:r>
    </w:p>
    <w:p w:rsidR="00A1577E" w:rsidRPr="00A1577E" w:rsidRDefault="00A1577E" w:rsidP="00A1577E">
      <w:pPr>
        <w:spacing w:before="120" w:after="120" w:line="240" w:lineRule="auto"/>
        <w:ind w:firstLine="720"/>
        <w:jc w:val="both"/>
        <w:rPr>
          <w:rFonts w:ascii="Times New Roman" w:eastAsia="Times New Roman" w:hAnsi="Times New Roman" w:cs="Times New Roman"/>
          <w:i/>
          <w:sz w:val="28"/>
          <w:szCs w:val="28"/>
          <w:lang w:val="en-US"/>
        </w:rPr>
      </w:pPr>
      <w:r w:rsidRPr="00A1577E">
        <w:rPr>
          <w:rFonts w:ascii="Times New Roman" w:eastAsia="Times New Roman" w:hAnsi="Times New Roman" w:cs="Times New Roman"/>
          <w:sz w:val="28"/>
          <w:szCs w:val="28"/>
          <w:lang w:val="en-US"/>
        </w:rPr>
        <w:t xml:space="preserve">- Căn cứ khoản 3 Điều 30 Nghị định số 342/2025/NĐ-CP ngày 26/12/2025 của Chính phủ quy định chi tiết một số điều của Luật Quảng cáo, quy định trách nhiệm của UBND cấp tỉnh: </w:t>
      </w:r>
      <w:r w:rsidRPr="00A1577E">
        <w:rPr>
          <w:rFonts w:ascii="Times New Roman" w:eastAsia="Times New Roman" w:hAnsi="Times New Roman" w:cs="Times New Roman"/>
          <w:i/>
          <w:sz w:val="28"/>
          <w:szCs w:val="28"/>
          <w:lang w:val="en-US"/>
        </w:rPr>
        <w:t>“</w:t>
      </w:r>
      <w:r w:rsidRPr="00A1577E">
        <w:rPr>
          <w:rFonts w:ascii="Times New Roman" w:eastAsia="Times New Roman" w:hAnsi="Times New Roman" w:cs="Times New Roman"/>
          <w:b/>
          <w:i/>
          <w:sz w:val="28"/>
          <w:szCs w:val="28"/>
          <w:lang w:val="en-US"/>
        </w:rPr>
        <w:t>Xây dựng, tổ chức, ban hành quy chế quản lý hoạt động quảng cáo ngoài trời tại địa phương</w:t>
      </w:r>
      <w:r w:rsidRPr="00A1577E">
        <w:rPr>
          <w:rFonts w:ascii="Times New Roman" w:eastAsia="Times New Roman" w:hAnsi="Times New Roman" w:cs="Times New Roman"/>
          <w:i/>
          <w:sz w:val="28"/>
          <w:szCs w:val="28"/>
          <w:lang w:val="en-US"/>
        </w:rPr>
        <w:t xml:space="preserve">; bố trí quỹ đất cho các công trình quảng cáo, địa điểm cho hoạt động quảng cáo rao vặt phù hợp với kiến trúc đô thị, nông thôn trong quy hoạch đô thị và nông thôn đã được cấp có thẩm quyền phê duyệt; chỉ đạo, tổ chức thực hiện khai thác, đầu tư vị trí quảng cáo ngoài trời tại địa phương theo quy định của pháp luật; quản lý hoạt động quảng cáo thương hiệu quốc gia trên đài truyền thanh xã, phường, đặc khu phục vụ nhiệm vụ chính trị theo thẩm quyền”. </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xml:space="preserve">- Sở Văn hóa, Thể thao và Du lịch đề xuất UBND tỉnh ban hành Quyết định về quy chế quản lý hoạt động quảng cáo ngoài trời tại địa phương là quy định chi tiết các nội dung được giao tại khoản 3 Điều 30 Nghị định số </w:t>
      </w:r>
      <w:r w:rsidRPr="00A1577E">
        <w:rPr>
          <w:rFonts w:ascii="Times New Roman" w:eastAsia="Times New Roman" w:hAnsi="Times New Roman" w:cs="Times New Roman"/>
          <w:sz w:val="28"/>
          <w:szCs w:val="28"/>
          <w:lang w:val="en-US"/>
        </w:rPr>
        <w:lastRenderedPageBreak/>
        <w:t xml:space="preserve">342/2025/NĐ-CP CP ngày 26/12/2025 của Chính phủ, </w:t>
      </w:r>
      <w:r w:rsidRPr="00A1577E">
        <w:rPr>
          <w:rFonts w:ascii="Times New Roman" w:eastAsia="Times New Roman" w:hAnsi="Times New Roman" w:cs="Times New Roman"/>
          <w:iCs/>
          <w:spacing w:val="-4"/>
          <w:sz w:val="28"/>
          <w:szCs w:val="28"/>
          <w:lang w:val="vi-VN"/>
        </w:rPr>
        <w:t>thuộc trường hợp ban hành quyết định của UBND tỉnh</w:t>
      </w:r>
      <w:r w:rsidRPr="00A1577E">
        <w:rPr>
          <w:rFonts w:ascii="Times New Roman" w:eastAsia="Times New Roman" w:hAnsi="Times New Roman" w:cs="Times New Roman"/>
          <w:iCs/>
          <w:spacing w:val="-4"/>
          <w:sz w:val="28"/>
          <w:szCs w:val="28"/>
          <w:lang w:val="en-US"/>
        </w:rPr>
        <w:t xml:space="preserve"> được </w:t>
      </w:r>
      <w:r w:rsidRPr="00A1577E">
        <w:rPr>
          <w:rFonts w:ascii="Times New Roman" w:eastAsia="Times New Roman" w:hAnsi="Times New Roman" w:cs="Times New Roman"/>
          <w:iCs/>
          <w:spacing w:val="-4"/>
          <w:sz w:val="28"/>
          <w:szCs w:val="28"/>
          <w:lang w:val="vi-VN"/>
        </w:rPr>
        <w:t xml:space="preserve">quy định tại điểm </w:t>
      </w:r>
      <w:r w:rsidRPr="00A1577E">
        <w:rPr>
          <w:rFonts w:ascii="Times New Roman" w:eastAsia="Times New Roman" w:hAnsi="Times New Roman" w:cs="Times New Roman"/>
          <w:iCs/>
          <w:spacing w:val="-4"/>
          <w:sz w:val="28"/>
          <w:szCs w:val="28"/>
          <w:lang w:val="en-US"/>
        </w:rPr>
        <w:t>a</w:t>
      </w:r>
      <w:r w:rsidRPr="00A1577E">
        <w:rPr>
          <w:rFonts w:ascii="Times New Roman" w:eastAsia="Times New Roman" w:hAnsi="Times New Roman" w:cs="Times New Roman"/>
          <w:iCs/>
          <w:spacing w:val="-4"/>
          <w:sz w:val="28"/>
          <w:szCs w:val="28"/>
          <w:lang w:val="vi-VN"/>
        </w:rPr>
        <w:t xml:space="preserve"> khoản 2 Điều 21 Luật Ban hành văn bản quy phạm pháp luật số 64/2015/QH15 (</w:t>
      </w:r>
      <w:r w:rsidRPr="00A1577E">
        <w:rPr>
          <w:rFonts w:ascii="Times New Roman" w:eastAsia="Times New Roman" w:hAnsi="Times New Roman" w:cs="Times New Roman"/>
          <w:spacing w:val="-4"/>
          <w:sz w:val="28"/>
          <w:szCs w:val="28"/>
          <w:lang w:val="vi-VN"/>
        </w:rPr>
        <w:t>được sửa đổi, bổ sung tại khoản 3 Điều 1 Luật số 87/2025/QH15</w:t>
      </w:r>
      <w:r w:rsidRPr="00A1577E">
        <w:rPr>
          <w:rFonts w:ascii="Times New Roman" w:eastAsia="Times New Roman" w:hAnsi="Times New Roman" w:cs="Times New Roman"/>
          <w:iCs/>
          <w:spacing w:val="-4"/>
          <w:sz w:val="28"/>
          <w:szCs w:val="28"/>
          <w:lang w:val="vi-VN"/>
        </w:rPr>
        <w:t>)</w:t>
      </w:r>
      <w:r w:rsidRPr="00A1577E">
        <w:rPr>
          <w:rFonts w:ascii="Times New Roman" w:eastAsia="Times New Roman" w:hAnsi="Times New Roman" w:cs="Times New Roman"/>
          <w:iCs/>
          <w:spacing w:val="-4"/>
          <w:sz w:val="28"/>
          <w:szCs w:val="28"/>
          <w:lang w:val="en-US"/>
        </w:rPr>
        <w:t>.</w:t>
      </w:r>
    </w:p>
    <w:p w:rsidR="00A1577E" w:rsidRPr="00A1577E" w:rsidRDefault="00A1577E" w:rsidP="00A1577E">
      <w:pPr>
        <w:spacing w:before="120" w:after="120" w:line="240" w:lineRule="auto"/>
        <w:ind w:firstLine="720"/>
        <w:jc w:val="both"/>
        <w:rPr>
          <w:rFonts w:ascii="Times New Roman" w:eastAsia="Times New Roman" w:hAnsi="Times New Roman" w:cs="Times New Roman"/>
          <w:b/>
          <w:bCs/>
          <w:sz w:val="28"/>
          <w:szCs w:val="28"/>
          <w:lang w:val="en-US"/>
        </w:rPr>
      </w:pPr>
      <w:r w:rsidRPr="00A1577E">
        <w:rPr>
          <w:rFonts w:ascii="Times New Roman" w:eastAsia="Times New Roman" w:hAnsi="Times New Roman" w:cs="Times New Roman"/>
          <w:b/>
          <w:bCs/>
          <w:sz w:val="28"/>
          <w:szCs w:val="28"/>
          <w:lang w:val="en-US"/>
        </w:rPr>
        <w:t>2. Cơ sở thực tiễn</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Sau khi thực hiện sáp nhập địa giới hành chính (hợp nhất tỉnh Khánh Hòa và tỉnh Ninh Thuận cũ), công tác quản lý nhà nước đối với hoạt động quảng cáo ngoài trời hiện đang đối mặt với những khó khăn, vướng mắc rất phức tạp, xuất phát từ 04 khoảng trống pháp lý và xung đột quy định như sau:</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Một số quy chuẩn chung về lắp đặt phương tiện quảng cáo ngoài trời giữa tỉnh Ninh Thuận (cũ) và tỉnh Khánh Hòa (cũ) chưa có sự thống nhất, như: Kích thước băng rôn, quy chuẩn kỹ thuật lắp đặt từng loại phương tiện quảng cáo...</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Sự thay đổi về địa giới hành chính và mô hình chính quyền địa phương (từ mô hình 3 cấp sang 2 cấp) làm thay đổi mối quan hệ và nhiệm vụ quản lý nhà nước đối với hoạt động quảng cáo ngoài trời và các hoạt động có liên quan đến lĩnh vực quảng cáo giữa các sở, ban, ngành và địa phương so với trước đây.</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Các văn bản quy phạm pháp luật điều chỉnh hoạt động quảng cáo ngoài trời chưa phân định thẩm quyền rõ ràng cho UBND cấp xã, dẫn đến chồng chéo trong công tác quản lý, gây khó khăn cho người dân và doanh nghiệp.</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Bất cập về thời hạn hiệu lực của quy hoạch kế thừa: Quy hoạch quảng cáo ngoài trời của tỉnh Khánh Hòa (cũ) (được phê duyệt điều chỉnh tại Quyết định số 173/QĐ-UBND ngày 16/01/2019) có tầm nhìn đến năm 2025, do đó đến nay đã hết thời hạn quy hoạch theo định hướng ban đầu. Trong khi đó, Quy hoạch quảng cáo ngoài trời của tỉnh Ninh Thuận (cũ) (được phê duyệt điều chỉnh tại Quyết định số 722/QĐ-UBND ngày 16/11/2018) có tầm nhìn chiến lược dài hạn hơn, với thời hạn hiệu lực được xác định kéo dài đến năm 2030. Theo quy định tại Luật Quy hoạch số 112/2025/QH15 (có hiệu lực từ ngày 01/3/2026), Quy hoạch quảng cáo ngoài trời không còn thuộc danh mục quy hoạch chi tiết ngành, dẫn đến việc không thể lập quy hoạch mới thay thế, tạo ra khoảng trống pháp lý đối với khu vực Bắc Khánh Hòa.</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Luật Quảng cáo và các văn bản hướng dẫn chưa có quy định rõ ràng về cơ chế giao đất công, cho thuê đất công hoặc cho thuê kết cấu hạ tầng công cộng để lắp đặt màn hình LED, bảng pano theo hình thức xã hội hóa kết hợp quảng cáo thương mại (ngoại trừ hình thức đấu giá vị trí thuê đất công theo Luật Quản lý, sử dụng tài sản công và Luật Đất đai). Do đó, việc chấp thuận cho doanh nghiệp đầu tư trực tiếp tiềm ẩn rủi ro về mặt pháp lý.</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fr-FR"/>
        </w:rPr>
        <w:t xml:space="preserve">Để khắc phục một số tồn tại nêu trên, đảm bảo tính thống nhất hệ thống văn bản quy phạm pháp luật điều chỉnh chung về hoạt động quảng cáo ngoài trời trên địa bàn tỉnh sau sáp nhập, </w:t>
      </w:r>
      <w:r w:rsidRPr="00A1577E">
        <w:rPr>
          <w:rFonts w:ascii="Times New Roman" w:eastAsia="Times New Roman" w:hAnsi="Times New Roman" w:cs="Times New Roman"/>
          <w:sz w:val="28"/>
          <w:szCs w:val="28"/>
          <w:lang w:val="en-US"/>
        </w:rPr>
        <w:t xml:space="preserve">việc ban hành Quyết định của UBND tỉnh về Quy </w:t>
      </w:r>
      <w:r w:rsidRPr="00A1577E">
        <w:rPr>
          <w:rFonts w:ascii="Times New Roman" w:eastAsia="Times New Roman" w:hAnsi="Times New Roman" w:cs="Times New Roman"/>
          <w:sz w:val="28"/>
          <w:szCs w:val="28"/>
          <w:lang w:val="en-US"/>
        </w:rPr>
        <w:lastRenderedPageBreak/>
        <w:t xml:space="preserve">chế quản lý hoạt động quảng cáo ngoài trời trên địa bàn tỉnh là hoàn toàn cần thiết và </w:t>
      </w:r>
      <w:r w:rsidRPr="00A1577E">
        <w:rPr>
          <w:rFonts w:ascii="Times New Roman" w:eastAsia="Times New Roman" w:hAnsi="Times New Roman" w:cs="Times New Roman"/>
          <w:sz w:val="28"/>
          <w:szCs w:val="28"/>
          <w:lang w:val="fr-FR"/>
        </w:rPr>
        <w:t>phù hợp với các quy định hiện hành.</w:t>
      </w:r>
    </w:p>
    <w:p w:rsidR="00A1577E" w:rsidRPr="00A1577E" w:rsidRDefault="00A1577E" w:rsidP="00A1577E">
      <w:pPr>
        <w:spacing w:before="120" w:after="120" w:line="240" w:lineRule="auto"/>
        <w:ind w:firstLine="720"/>
        <w:jc w:val="both"/>
        <w:rPr>
          <w:rFonts w:ascii="Times New Roman" w:eastAsia="Times New Roman" w:hAnsi="Times New Roman" w:cs="Times New Roman"/>
          <w:b/>
          <w:bCs/>
          <w:sz w:val="28"/>
          <w:szCs w:val="28"/>
          <w:lang w:eastAsia="en-GB"/>
        </w:rPr>
      </w:pPr>
      <w:r w:rsidRPr="00A1577E">
        <w:rPr>
          <w:rFonts w:ascii="Times New Roman" w:eastAsia="Times New Roman" w:hAnsi="Times New Roman" w:cs="Times New Roman"/>
          <w:b/>
          <w:bCs/>
          <w:sz w:val="28"/>
          <w:szCs w:val="28"/>
          <w:lang w:val="en-US"/>
        </w:rPr>
        <w:t>II. NỘI DUNG CƠ BẢN DỰ THẢO QUYẾT ĐỊNH CỦA UBND TỈNH</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b/>
          <w:sz w:val="28"/>
          <w:szCs w:val="28"/>
          <w:lang w:val="en-US"/>
        </w:rPr>
        <w:t>1. Bố cục dự kiến</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Dự thảo Quyết định của UBND tỉnh gồm 03 Điều.</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Dự thảo Quy chế gồm 03 Chương, 30 Điều. Trong đó, Chương I gồm 06 Điều, Chương II gồm 16 Điều và Chương III gồm 08 Điều.</w:t>
      </w:r>
    </w:p>
    <w:p w:rsidR="00A1577E" w:rsidRPr="00A1577E" w:rsidRDefault="00A1577E" w:rsidP="00A1577E">
      <w:pPr>
        <w:spacing w:before="120" w:after="120" w:line="240" w:lineRule="auto"/>
        <w:ind w:firstLine="720"/>
        <w:jc w:val="both"/>
        <w:rPr>
          <w:rFonts w:ascii="Times New Roman" w:eastAsia="Times New Roman" w:hAnsi="Times New Roman" w:cs="Times New Roman"/>
          <w:b/>
          <w:bCs/>
          <w:sz w:val="28"/>
          <w:szCs w:val="28"/>
          <w:lang w:val="en-US"/>
        </w:rPr>
      </w:pPr>
      <w:r w:rsidRPr="00A1577E">
        <w:rPr>
          <w:rFonts w:ascii="Times New Roman" w:eastAsia="Times New Roman" w:hAnsi="Times New Roman" w:cs="Times New Roman"/>
          <w:b/>
          <w:bCs/>
          <w:sz w:val="28"/>
          <w:szCs w:val="28"/>
          <w:lang w:val="en-US"/>
        </w:rPr>
        <w:t>2. Nội dung cơ bản dự thảo Quyết định của UBND tỉnh</w:t>
      </w:r>
    </w:p>
    <w:p w:rsidR="00A1577E" w:rsidRPr="00A1577E" w:rsidRDefault="00A1577E" w:rsidP="00A1577E">
      <w:pPr>
        <w:spacing w:before="120" w:after="120" w:line="240" w:lineRule="auto"/>
        <w:ind w:firstLine="720"/>
        <w:jc w:val="both"/>
        <w:rPr>
          <w:rFonts w:ascii="Times New Roman" w:eastAsia="Times New Roman" w:hAnsi="Times New Roman" w:cs="Times New Roman"/>
          <w:bCs/>
          <w:sz w:val="28"/>
          <w:szCs w:val="28"/>
          <w:lang w:val="en-US"/>
        </w:rPr>
      </w:pPr>
      <w:r w:rsidRPr="00A1577E">
        <w:rPr>
          <w:rFonts w:ascii="Times New Roman" w:eastAsia="Times New Roman" w:hAnsi="Times New Roman" w:cs="Times New Roman"/>
          <w:bCs/>
          <w:sz w:val="28"/>
          <w:szCs w:val="28"/>
          <w:lang w:val="en-US"/>
        </w:rPr>
        <w:t xml:space="preserve">Ban hành kèm theo Quyết định là Quy chế </w:t>
      </w:r>
      <w:r w:rsidRPr="00A1577E">
        <w:rPr>
          <w:rFonts w:ascii="Times New Roman" w:eastAsia="Times New Roman" w:hAnsi="Times New Roman" w:cs="Times New Roman"/>
          <w:sz w:val="28"/>
          <w:szCs w:val="28"/>
          <w:lang w:val="en-US"/>
        </w:rPr>
        <w:t>quản lý hoạt động quảng cáo ngoài trời trên địa bàn tỉnh Khánh Hòa, cụ thể:</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b/>
          <w:bCs/>
          <w:sz w:val="28"/>
          <w:szCs w:val="28"/>
          <w:lang w:val="en-US"/>
        </w:rPr>
        <w:t>2.1. Quy định chung (Từ Điều 1 đến Điều 6)</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b/>
          <w:sz w:val="28"/>
          <w:szCs w:val="28"/>
          <w:lang w:val="en-US"/>
        </w:rPr>
        <w:t xml:space="preserve">- </w:t>
      </w:r>
      <w:r w:rsidRPr="00A1577E">
        <w:rPr>
          <w:rFonts w:ascii="Times New Roman" w:eastAsia="Times New Roman" w:hAnsi="Times New Roman" w:cs="Times New Roman"/>
          <w:bCs/>
          <w:sz w:val="28"/>
          <w:szCs w:val="28"/>
          <w:lang w:val="en-US"/>
        </w:rPr>
        <w:t>Về phạm vi điều chỉnh:</w:t>
      </w:r>
      <w:r w:rsidRPr="00A1577E">
        <w:rPr>
          <w:rFonts w:ascii="Times New Roman" w:eastAsia="Times New Roman" w:hAnsi="Times New Roman" w:cs="Times New Roman"/>
          <w:sz w:val="28"/>
          <w:szCs w:val="28"/>
          <w:lang w:val="en-US"/>
        </w:rPr>
        <w:t xml:space="preserve"> Quy định về nguyên tắc, nội dung hoạt động quảng cáo và công tác quản lý nhà nước về hoạt động quảng cáo ngoài trời trên địa bàn tỉnh Khánh Hòa (không bao gồm nội dung quảng cáo trên báo chí, trên môi trường mạng, trên xuất bản phẩm và quảng cáo tích hợp trên sản phẩm, dịch vụ bưu chính viễn thông, công nghệ thông tin) (Điều 1).</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b/>
          <w:sz w:val="28"/>
          <w:szCs w:val="28"/>
          <w:lang w:val="en-US"/>
        </w:rPr>
        <w:t xml:space="preserve">- </w:t>
      </w:r>
      <w:r w:rsidRPr="00A1577E">
        <w:rPr>
          <w:rFonts w:ascii="Times New Roman" w:eastAsia="Times New Roman" w:hAnsi="Times New Roman" w:cs="Times New Roman"/>
          <w:bCs/>
          <w:sz w:val="28"/>
          <w:szCs w:val="28"/>
          <w:lang w:val="en-US"/>
        </w:rPr>
        <w:t>Về đối tượng áp dụng:</w:t>
      </w:r>
      <w:r w:rsidRPr="00A1577E">
        <w:rPr>
          <w:rFonts w:ascii="Times New Roman" w:eastAsia="Times New Roman" w:hAnsi="Times New Roman" w:cs="Times New Roman"/>
          <w:sz w:val="28"/>
          <w:szCs w:val="28"/>
          <w:lang w:val="en-US"/>
        </w:rPr>
        <w:t xml:space="preserve"> Các tổ chức, cá nhân tham gia hoạt động quảng cáo ngoài trời trên địa bàn tỉnh; các sở, ban, ngành, hội, đoàn thể tỉnh; UBND cấp xã; các cơ quan, tổ chức có liên quan trong quản lý hoạt động quảng cáo ngoài trời trên địa bàn tỉnh (Điều 2).</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Về tiêu chuẩn và nguyên tắc: Định nghĩa chuẩn hóa các thuật ngữ chuyên ngành (Điều 3); các nguyên tắc quản lý đối với các hoạt động quảng cáo (Điều 4).</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Về cách thức vận hành và xã hội hóa: Quy định trách nhiệm chủ sở hữu phương tiện quảng cáo ngoài trời (Điều 5); quy định cơ chế huy động nguồn lực xã hội hóa trong khai thác hoạt động quảng cáo (Điều 6).</w:t>
      </w:r>
    </w:p>
    <w:p w:rsidR="00A1577E" w:rsidRPr="00A1577E" w:rsidRDefault="00A1577E" w:rsidP="00A1577E">
      <w:pPr>
        <w:spacing w:before="120" w:after="120" w:line="240" w:lineRule="auto"/>
        <w:ind w:firstLine="720"/>
        <w:jc w:val="both"/>
        <w:rPr>
          <w:rFonts w:ascii="Times New Roman" w:eastAsia="Times New Roman" w:hAnsi="Times New Roman" w:cs="Times New Roman"/>
          <w:b/>
          <w:bCs/>
          <w:sz w:val="28"/>
          <w:szCs w:val="28"/>
          <w:lang w:val="en-US"/>
        </w:rPr>
      </w:pPr>
      <w:r w:rsidRPr="00A1577E">
        <w:rPr>
          <w:rFonts w:ascii="Times New Roman" w:eastAsia="Times New Roman" w:hAnsi="Times New Roman" w:cs="Times New Roman"/>
          <w:b/>
          <w:bCs/>
          <w:sz w:val="28"/>
          <w:szCs w:val="28"/>
          <w:lang w:val="en-US"/>
        </w:rPr>
        <w:t>2.2. Một số quy định cụ thể (Từ Điều 7 đến Điều 22)</w:t>
      </w:r>
    </w:p>
    <w:p w:rsidR="00A1577E" w:rsidRPr="00A1577E" w:rsidRDefault="00A1577E" w:rsidP="00A1577E">
      <w:pPr>
        <w:spacing w:before="120" w:after="120" w:line="240" w:lineRule="auto"/>
        <w:ind w:firstLine="720"/>
        <w:jc w:val="both"/>
        <w:rPr>
          <w:rFonts w:ascii="Times New Roman" w:eastAsia="Times New Roman" w:hAnsi="Times New Roman" w:cs="Times New Roman"/>
          <w:b/>
          <w:sz w:val="28"/>
          <w:szCs w:val="28"/>
          <w:lang w:val="en-US"/>
        </w:rPr>
      </w:pPr>
      <w:r w:rsidRPr="00A1577E">
        <w:rPr>
          <w:rFonts w:ascii="Times New Roman" w:eastAsia="Times New Roman" w:hAnsi="Times New Roman" w:cs="Times New Roman"/>
          <w:bCs/>
          <w:sz w:val="28"/>
          <w:szCs w:val="28"/>
          <w:lang w:val="en-US"/>
        </w:rPr>
        <w:t>- Quy định cụ thể về các</w:t>
      </w:r>
      <w:r w:rsidRPr="00A1577E">
        <w:rPr>
          <w:rFonts w:ascii="Times New Roman" w:eastAsia="Times New Roman" w:hAnsi="Times New Roman" w:cs="Times New Roman"/>
          <w:b/>
          <w:bCs/>
          <w:sz w:val="28"/>
          <w:szCs w:val="28"/>
          <w:lang w:val="en-US"/>
        </w:rPr>
        <w:t xml:space="preserve"> </w:t>
      </w:r>
      <w:r w:rsidRPr="00A1577E">
        <w:rPr>
          <w:rFonts w:ascii="Times New Roman" w:eastAsia="Times New Roman" w:hAnsi="Times New Roman" w:cs="Times New Roman"/>
          <w:bCs/>
          <w:sz w:val="28"/>
          <w:szCs w:val="28"/>
          <w:lang w:val="en-US"/>
        </w:rPr>
        <w:t>khu vực không quảng cáo, khu vực ưu tiên tuyên truyền phục vụ nhiệm vụ chính trị, quảng bá các sự kiện lớn của tỉnh, địa phương (Điều 7, Điều 8).</w:t>
      </w:r>
    </w:p>
    <w:p w:rsidR="00A1577E" w:rsidRPr="00A1577E" w:rsidRDefault="00A1577E" w:rsidP="00A1577E">
      <w:pPr>
        <w:spacing w:before="120" w:after="120" w:line="240" w:lineRule="auto"/>
        <w:ind w:firstLine="720"/>
        <w:jc w:val="both"/>
        <w:rPr>
          <w:rFonts w:ascii="Times New Roman" w:eastAsia="Times New Roman" w:hAnsi="Times New Roman" w:cs="Times New Roman"/>
          <w:bCs/>
          <w:sz w:val="28"/>
          <w:szCs w:val="28"/>
          <w:lang w:val="en-US"/>
        </w:rPr>
      </w:pPr>
      <w:r w:rsidRPr="00A1577E">
        <w:rPr>
          <w:rFonts w:ascii="Times New Roman" w:eastAsia="Times New Roman" w:hAnsi="Times New Roman" w:cs="Times New Roman"/>
          <w:bCs/>
          <w:sz w:val="28"/>
          <w:szCs w:val="28"/>
          <w:lang w:val="en-US"/>
        </w:rPr>
        <w:t xml:space="preserve">- Quy định về hình thức, phương tiện quảng cáo ngoài trời, gồm có: Biển hiệu; quảng cáo trên băng rôn; quảng cáo bằng </w:t>
      </w:r>
      <w:r w:rsidRPr="00A1577E">
        <w:rPr>
          <w:rFonts w:ascii="Times New Roman" w:eastAsia="Times New Roman" w:hAnsi="Times New Roman" w:cs="Times New Roman"/>
          <w:sz w:val="28"/>
          <w:szCs w:val="28"/>
          <w:lang w:val="en-US"/>
        </w:rPr>
        <w:t>bảng quảng cáo đứng độc lập; quảng cáo gắn/ốp vào công trình, nhà ở riêng lẻ;</w:t>
      </w:r>
      <w:r w:rsidRPr="00A1577E">
        <w:rPr>
          <w:rFonts w:ascii="Times New Roman" w:eastAsia="Times New Roman" w:hAnsi="Times New Roman" w:cs="Times New Roman"/>
          <w:bCs/>
          <w:sz w:val="28"/>
          <w:szCs w:val="28"/>
          <w:lang w:val="en-US"/>
        </w:rPr>
        <w:t xml:space="preserve"> quảng cáo trên dải phân cách; quảng cáo trên màn hình chuyên quảng cáo, màn hình LED, LCD và các hình thức tương tự, quảng cáo sử dụng ánh sáng điện (đèn phóng khí, đèn LED, đèn laze, đèn Media trang trí tòa nhà...); quảng cáo bằng loa phóng thanh và hình thức tương tự; quảng cáo trong chương trình văn hoá, thể thao, hội thảo, hội nghị, hội </w:t>
      </w:r>
      <w:r w:rsidRPr="00A1577E">
        <w:rPr>
          <w:rFonts w:ascii="Times New Roman" w:eastAsia="Times New Roman" w:hAnsi="Times New Roman" w:cs="Times New Roman"/>
          <w:bCs/>
          <w:sz w:val="28"/>
          <w:szCs w:val="28"/>
          <w:lang w:val="en-US"/>
        </w:rPr>
        <w:lastRenderedPageBreak/>
        <w:t>chợ, triển lãm, tổ chức sự kiện; người chuyển tải sản phẩm quảng cáo, vật thể quảng cáo và phương tiện quảng cáo khác; quảng cáo trên phương tiện giao thông; quảng cáo tại trạm chờ xe buýt, trạm trung chuyển xe buýt, trạm rút tiền tự động của ngân hàng (trạm ATM); quảng cáo dạng chữ, hình, biểu tượng; quảng cáo trong khuôn viên Cảng hàng không, sân bay; nhà ga đường sắt; cầu vượt sông; cầu vượt đường bộ; cầu vượt dành cho người đi bộ; đường hầm dành cho người đi bộ; quảng cáo trong phạm vi các khu công nghiệp, khu công nghệ cao, khu công nghệ số tập trung, khu thương mại tự do và các khu chức năng tương tự khác; hoạt động đoàn người thực hiện quảng cáo; trạm bảng tin - quảng cáo rao vặt (Từ Điều 9 đến Điều 22).</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b/>
          <w:bCs/>
          <w:sz w:val="28"/>
          <w:szCs w:val="28"/>
          <w:lang w:val="en-US"/>
        </w:rPr>
        <w:t>2.3. Trách nhiệm của các cơ quan, địa phương, đơn vị quản lý (Từ Điều 23 đến Điều 30)</w:t>
      </w:r>
    </w:p>
    <w:p w:rsidR="00A1577E" w:rsidRPr="00A1577E" w:rsidRDefault="00A1577E" w:rsidP="00A1577E">
      <w:pPr>
        <w:spacing w:before="120" w:after="120" w:line="240" w:lineRule="auto"/>
        <w:ind w:firstLine="720"/>
        <w:jc w:val="both"/>
        <w:rPr>
          <w:rFonts w:ascii="Times New Roman" w:eastAsia="Times New Roman" w:hAnsi="Times New Roman" w:cs="Times New Roman"/>
          <w:sz w:val="28"/>
          <w:szCs w:val="28"/>
          <w:lang w:val="en-US"/>
        </w:rPr>
      </w:pPr>
      <w:r w:rsidRPr="00A1577E">
        <w:rPr>
          <w:rFonts w:ascii="Times New Roman" w:eastAsia="Times New Roman" w:hAnsi="Times New Roman" w:cs="Times New Roman"/>
          <w:sz w:val="28"/>
          <w:szCs w:val="28"/>
          <w:lang w:val="en-US"/>
        </w:rPr>
        <w:t xml:space="preserve">Quy định rõ trách nhiệm quản lý nhà nước, cơ chế phối hợp liên ngành và phân cấp thẩm quyền quản lý hoạt động quảng cáo ngoài trời trên địa bàn tỉnh đối với các cơ quan, địa phương, đơn vị quản lý, </w:t>
      </w:r>
      <w:r w:rsidRPr="00A1577E">
        <w:rPr>
          <w:rFonts w:ascii="Times New Roman" w:eastAsia="Times New Roman" w:hAnsi="Times New Roman" w:cs="Times New Roman"/>
          <w:bCs/>
          <w:sz w:val="28"/>
          <w:szCs w:val="28"/>
          <w:lang w:val="en-US"/>
        </w:rPr>
        <w:t>gồm có: Sở Văn hóa, Thể thao và Du lịch (Điều 23); Sở Xây dựng (Điều 24); Sở Nông nghiệp và Môi trường (Điều 25); Sở Tài chính (Điều 26); Sở Khoa học và Công nghệ (Điều 27); UBND cấp xã (Điều 29); các Sở, ban, ngành và các đơn vị liên quan (Điều 28); và công tác tổ chức thực hiện (Điều 30).</w:t>
      </w:r>
      <w:r>
        <w:rPr>
          <w:rFonts w:ascii="Times New Roman" w:eastAsia="Times New Roman" w:hAnsi="Times New Roman" w:cs="Times New Roman"/>
          <w:bCs/>
          <w:sz w:val="28"/>
          <w:szCs w:val="28"/>
          <w:lang w:val="en-US"/>
        </w:rPr>
        <w:t>/.</w:t>
      </w:r>
      <w:bookmarkStart w:id="0" w:name="_GoBack"/>
      <w:bookmarkEnd w:id="0"/>
    </w:p>
    <w:p w:rsidR="00BB3810" w:rsidRDefault="00BB3810"/>
    <w:sectPr w:rsidR="00BB38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7E"/>
    <w:rsid w:val="00A1577E"/>
    <w:rsid w:val="00BB3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4043D-8413-48C7-82B4-C8689F43B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1311</Words>
  <Characters>7475</Characters>
  <Application>Microsoft Office Word</Application>
  <DocSecurity>0</DocSecurity>
  <Lines>62</Lines>
  <Paragraphs>17</Paragraphs>
  <ScaleCrop>false</ScaleCrop>
  <Company/>
  <LinksUpToDate>false</LinksUpToDate>
  <CharactersWithSpaces>8769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2026-10-29T03:01:00Z</dcterms:created>
  <dcterms:modified xsi:type="dcterms:W3CDTF">2026-10-29T03:02:00Z</dcterms:modified>
</cp:coreProperties>
</file>